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669D509F" w14:textId="111B1FF7" w:rsidR="00567846" w:rsidRPr="00EB337A" w:rsidRDefault="00567846" w:rsidP="0056784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944AE2">
        <w:rPr>
          <w:rFonts w:cs="Arial"/>
          <w:b/>
          <w:noProof/>
          <w:sz w:val="24"/>
          <w:szCs w:val="24"/>
          <w:lang w:val="en-US"/>
        </w:rPr>
        <w:t>10</w:t>
      </w:r>
      <w:r w:rsidR="00EE0B54">
        <w:rPr>
          <w:rFonts w:cs="Arial"/>
          <w:b/>
          <w:noProof/>
          <w:sz w:val="24"/>
          <w:szCs w:val="24"/>
          <w:lang w:val="en-US"/>
        </w:rPr>
        <w:t>1-bis-</w:t>
      </w:r>
      <w:r w:rsidRPr="00EB337A">
        <w:rPr>
          <w:rFonts w:cs="Arial"/>
          <w:b/>
          <w:noProof/>
          <w:sz w:val="24"/>
          <w:szCs w:val="24"/>
          <w:lang w:val="en-US"/>
        </w:rPr>
        <w:t>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59642C" w:rsidRPr="0059642C">
        <w:rPr>
          <w:rFonts w:cs="Arial"/>
          <w:b/>
          <w:i/>
          <w:noProof/>
          <w:sz w:val="24"/>
          <w:szCs w:val="24"/>
          <w:lang w:val="en-US"/>
        </w:rPr>
        <w:t>R4-2200347</w:t>
      </w:r>
    </w:p>
    <w:p w14:paraId="3C2AE2C4" w14:textId="5C43C96D" w:rsidR="00567846" w:rsidRPr="000A1846" w:rsidRDefault="00567846" w:rsidP="00567846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</w:t>
      </w:r>
      <w:r w:rsidR="00EE0B54">
        <w:rPr>
          <w:rFonts w:cs="Arial"/>
          <w:b/>
          <w:noProof/>
          <w:sz w:val="24"/>
          <w:lang w:val="en-US"/>
        </w:rPr>
        <w:t>7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</w:t>
      </w:r>
      <w:r w:rsidR="00EE0B54">
        <w:rPr>
          <w:rFonts w:cs="Arial"/>
          <w:b/>
          <w:noProof/>
          <w:sz w:val="24"/>
          <w:lang w:val="en-US"/>
        </w:rPr>
        <w:t>5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EE0B54">
        <w:rPr>
          <w:rFonts w:cs="Arial"/>
          <w:b/>
          <w:noProof/>
          <w:sz w:val="24"/>
          <w:lang w:val="en-US"/>
        </w:rPr>
        <w:t>January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EE0B5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937F67" w:rsidRDefault="00DC6358" w:rsidP="00DC6358">
      <w:pPr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41E0ABDF" w14:textId="58ECBB1B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E0B54">
        <w:rPr>
          <w:sz w:val="24"/>
          <w:szCs w:val="24"/>
        </w:rPr>
        <w:t xml:space="preserve">UE </w:t>
      </w:r>
      <w:r w:rsidR="00AA24AD">
        <w:rPr>
          <w:sz w:val="24"/>
          <w:szCs w:val="24"/>
        </w:rPr>
        <w:t xml:space="preserve">RF requirement framework </w:t>
      </w:r>
      <w:r w:rsidR="00D6262C">
        <w:rPr>
          <w:sz w:val="24"/>
          <w:szCs w:val="24"/>
        </w:rPr>
        <w:t xml:space="preserve">for </w:t>
      </w:r>
      <w:r w:rsidR="005101F7">
        <w:rPr>
          <w:sz w:val="24"/>
          <w:szCs w:val="24"/>
        </w:rPr>
        <w:t xml:space="preserve">FR2 </w:t>
      </w:r>
      <w:r w:rsidR="00D6262C">
        <w:rPr>
          <w:sz w:val="24"/>
          <w:szCs w:val="24"/>
        </w:rPr>
        <w:t>HST</w:t>
      </w:r>
    </w:p>
    <w:p w14:paraId="632E5E14" w14:textId="7D21DC94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8D4C38">
        <w:rPr>
          <w:sz w:val="24"/>
          <w:szCs w:val="24"/>
        </w:rPr>
        <w:t>6.9.3.1.1</w:t>
      </w:r>
      <w:r w:rsidRPr="000B39AE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>[</w:t>
      </w:r>
      <w:r w:rsidR="00E02131" w:rsidRPr="00E02131">
        <w:rPr>
          <w:sz w:val="24"/>
          <w:szCs w:val="24"/>
        </w:rPr>
        <w:t>NR_HST_FR2-Core</w:t>
      </w:r>
      <w:r w:rsidRPr="0072093D">
        <w:rPr>
          <w:sz w:val="24"/>
          <w:szCs w:val="24"/>
        </w:rPr>
        <w:t>]</w:t>
      </w:r>
    </w:p>
    <w:p w14:paraId="04DC1DD4" w14:textId="5C8F43BC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567846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149104DE" w14:textId="17181D58" w:rsidR="00FE70CD" w:rsidRDefault="00D6262C" w:rsidP="0067040A">
      <w:r>
        <w:t xml:space="preserve">In this contribution, the </w:t>
      </w:r>
      <w:r w:rsidR="005101F7">
        <w:t xml:space="preserve">UE </w:t>
      </w:r>
      <w:r w:rsidR="0006077C">
        <w:t xml:space="preserve">requirement framework </w:t>
      </w:r>
      <w:r>
        <w:t>for FR2 HST WI [1] is discussed.</w:t>
      </w:r>
    </w:p>
    <w:p w14:paraId="68301C53" w14:textId="1B40FD81" w:rsidR="002A2F73" w:rsidRPr="00DC6358" w:rsidRDefault="002A2F73" w:rsidP="002A2F73">
      <w:pPr>
        <w:pStyle w:val="Heading1"/>
      </w:pPr>
      <w:r>
        <w:t>Discussion</w:t>
      </w:r>
    </w:p>
    <w:p w14:paraId="399B6371" w14:textId="77777777" w:rsidR="007A6B7B" w:rsidRDefault="007A6B7B" w:rsidP="007A6B7B">
      <w:r>
        <w:t xml:space="preserve">In RAN4#101-e meeting the way-forward [2] was agreed, where the UE RF requirement framework is summarized in the following. </w:t>
      </w:r>
    </w:p>
    <w:p w14:paraId="1942C849" w14:textId="77777777" w:rsidR="007A6B7B" w:rsidRDefault="007A6B7B" w:rsidP="007A6B7B">
      <w:pPr>
        <w:ind w:left="852"/>
        <w:rPr>
          <w:rFonts w:eastAsia="DengXian"/>
        </w:rPr>
      </w:pPr>
      <w:r>
        <w:rPr>
          <w:rFonts w:eastAsia="DengXian"/>
        </w:rPr>
        <w:t>For UE RF requirement framework, the following agreement is achieved in GTW (Thursday, 4th Nov):</w:t>
      </w:r>
    </w:p>
    <w:p w14:paraId="320A5104" w14:textId="77777777" w:rsidR="007A6B7B" w:rsidRDefault="007A6B7B" w:rsidP="007A6B7B">
      <w:pPr>
        <w:ind w:left="852"/>
        <w:rPr>
          <w:color w:val="0070C0"/>
          <w:highlight w:val="green"/>
        </w:rPr>
      </w:pPr>
      <w:r>
        <w:rPr>
          <w:color w:val="0070C0"/>
          <w:highlight w:val="green"/>
        </w:rPr>
        <w:t>Agreement:</w:t>
      </w:r>
    </w:p>
    <w:p w14:paraId="50D2DEA5" w14:textId="77777777" w:rsidR="007A6B7B" w:rsidRDefault="007A6B7B" w:rsidP="007A6B7B">
      <w:pPr>
        <w:pStyle w:val="ListParagraph"/>
        <w:numPr>
          <w:ilvl w:val="0"/>
          <w:numId w:val="26"/>
        </w:numPr>
        <w:spacing w:after="120" w:line="259" w:lineRule="auto"/>
        <w:ind w:left="1572"/>
        <w:contextualSpacing w:val="0"/>
        <w:rPr>
          <w:highlight w:val="green"/>
        </w:rPr>
      </w:pPr>
      <w:r>
        <w:rPr>
          <w:highlight w:val="green"/>
        </w:rPr>
        <w:t xml:space="preserve">The unified RF requirements for FR2 HST UE are defined except spherical coverage </w:t>
      </w:r>
    </w:p>
    <w:p w14:paraId="44B431C3" w14:textId="77777777" w:rsidR="007A6B7B" w:rsidRDefault="007A6B7B" w:rsidP="007A6B7B">
      <w:pPr>
        <w:pStyle w:val="ListParagraph"/>
        <w:numPr>
          <w:ilvl w:val="1"/>
          <w:numId w:val="26"/>
        </w:numPr>
        <w:spacing w:after="120" w:line="259" w:lineRule="auto"/>
        <w:ind w:left="2508"/>
        <w:contextualSpacing w:val="0"/>
        <w:rPr>
          <w:highlight w:val="green"/>
        </w:rPr>
      </w:pPr>
      <w:r>
        <w:rPr>
          <w:highlight w:val="green"/>
        </w:rPr>
        <w:t>FFS on spherical coverage requirements</w:t>
      </w:r>
    </w:p>
    <w:p w14:paraId="4FE5ED2A" w14:textId="77777777" w:rsidR="007A6B7B" w:rsidRDefault="007A6B7B" w:rsidP="007A6B7B">
      <w:pPr>
        <w:pStyle w:val="ListParagraph"/>
        <w:numPr>
          <w:ilvl w:val="2"/>
          <w:numId w:val="26"/>
        </w:numPr>
        <w:spacing w:after="120" w:line="259" w:lineRule="auto"/>
        <w:ind w:left="3228"/>
        <w:contextualSpacing w:val="0"/>
        <w:rPr>
          <w:highlight w:val="green"/>
        </w:rPr>
      </w:pPr>
      <w:r>
        <w:rPr>
          <w:highlight w:val="green"/>
        </w:rPr>
        <w:t xml:space="preserve">Option 1: use the union of the largest spherical coverage of theta and phi to define the unified requirements </w:t>
      </w:r>
    </w:p>
    <w:p w14:paraId="42C8509B" w14:textId="77777777" w:rsidR="007A6B7B" w:rsidRDefault="007A6B7B" w:rsidP="007A6B7B">
      <w:pPr>
        <w:pStyle w:val="ListParagraph"/>
        <w:numPr>
          <w:ilvl w:val="2"/>
          <w:numId w:val="26"/>
        </w:numPr>
        <w:spacing w:after="120" w:line="259" w:lineRule="auto"/>
        <w:ind w:left="3228"/>
        <w:contextualSpacing w:val="0"/>
        <w:rPr>
          <w:highlight w:val="green"/>
        </w:rPr>
      </w:pPr>
      <w:r>
        <w:rPr>
          <w:highlight w:val="green"/>
        </w:rPr>
        <w:t xml:space="preserve">Option 2: The unified RF requirement for FR2 HST UE is defined based on one particular scenario requiring the largest spherical coverage. </w:t>
      </w:r>
    </w:p>
    <w:p w14:paraId="19C916D0" w14:textId="77777777" w:rsidR="007A6B7B" w:rsidRDefault="007A6B7B" w:rsidP="007A6B7B">
      <w:pPr>
        <w:ind w:left="852"/>
        <w:rPr>
          <w:rFonts w:eastAsia="DengXian"/>
        </w:rPr>
      </w:pPr>
    </w:p>
    <w:p w14:paraId="527CEE7F" w14:textId="77777777" w:rsidR="007A6B7B" w:rsidRDefault="007A6B7B" w:rsidP="007A6B7B">
      <w:pPr>
        <w:ind w:left="852"/>
        <w:rPr>
          <w:rFonts w:eastAsia="DengXian"/>
        </w:rPr>
      </w:pPr>
      <w:r>
        <w:rPr>
          <w:rFonts w:eastAsia="DengXian"/>
        </w:rPr>
        <w:t>For UE RF requirement framework, the following agreement is achieved in GTW (Friday, 12th Nov):</w:t>
      </w:r>
    </w:p>
    <w:p w14:paraId="1DD65C2D" w14:textId="77777777" w:rsidR="007A6B7B" w:rsidRPr="00C65E92" w:rsidRDefault="007A6B7B" w:rsidP="007A6B7B">
      <w:pPr>
        <w:ind w:left="852"/>
        <w:rPr>
          <w:rFonts w:eastAsia="DengXian"/>
          <w:highlight w:val="green"/>
        </w:rPr>
      </w:pPr>
      <w:r w:rsidRPr="00C65E92">
        <w:rPr>
          <w:rFonts w:eastAsia="DengXian"/>
          <w:highlight w:val="green"/>
        </w:rPr>
        <w:t>Agreement: The assumption that UE has two panels, i.e., back-to-back panels, will be used to derive spherical coverage requirements.</w:t>
      </w:r>
    </w:p>
    <w:p w14:paraId="439ADC40" w14:textId="77777777" w:rsidR="007A6B7B" w:rsidRPr="00C65E92" w:rsidRDefault="007A6B7B" w:rsidP="007A6B7B">
      <w:pPr>
        <w:pStyle w:val="ListParagraph"/>
        <w:numPr>
          <w:ilvl w:val="0"/>
          <w:numId w:val="27"/>
        </w:numPr>
        <w:spacing w:line="259" w:lineRule="auto"/>
        <w:ind w:left="1272"/>
        <w:contextualSpacing w:val="0"/>
        <w:rPr>
          <w:rFonts w:eastAsia="DengXian"/>
          <w:highlight w:val="green"/>
        </w:rPr>
      </w:pPr>
      <w:r w:rsidRPr="00C65E92">
        <w:rPr>
          <w:rFonts w:eastAsia="DengXian" w:hint="eastAsia"/>
          <w:highlight w:val="green"/>
        </w:rPr>
        <w:t>F</w:t>
      </w:r>
      <w:r w:rsidRPr="00C65E92">
        <w:rPr>
          <w:rFonts w:eastAsia="DengXian"/>
          <w:highlight w:val="green"/>
        </w:rPr>
        <w:t>urther discuss whether one panel based spherical coverage requirement will be specified</w:t>
      </w:r>
    </w:p>
    <w:p w14:paraId="27005C0B" w14:textId="77777777" w:rsidR="007A6B7B" w:rsidRDefault="007A6B7B" w:rsidP="007A6B7B">
      <w:pPr>
        <w:pStyle w:val="ListParagraph"/>
        <w:numPr>
          <w:ilvl w:val="0"/>
          <w:numId w:val="27"/>
        </w:numPr>
        <w:spacing w:line="259" w:lineRule="auto"/>
        <w:ind w:left="1272"/>
        <w:contextualSpacing w:val="0"/>
        <w:rPr>
          <w:rFonts w:eastAsia="DengXian"/>
          <w:highlight w:val="green"/>
        </w:rPr>
      </w:pPr>
      <w:r w:rsidRPr="00C65E92">
        <w:rPr>
          <w:rFonts w:eastAsia="DengXian"/>
          <w:highlight w:val="green"/>
        </w:rPr>
        <w:t>FFS on whether to mandate two panels.</w:t>
      </w:r>
    </w:p>
    <w:p w14:paraId="747881B6" w14:textId="77777777" w:rsidR="00746C8A" w:rsidRDefault="00746C8A" w:rsidP="007A6B7B">
      <w:pPr>
        <w:rPr>
          <w:rFonts w:eastAsia="ＭＳ Ｐゴシック"/>
          <w:lang w:val="en-US"/>
        </w:rPr>
      </w:pPr>
    </w:p>
    <w:p w14:paraId="64EA4007" w14:textId="0C75D617" w:rsidR="00062A08" w:rsidRDefault="008D4C38" w:rsidP="007A6B7B">
      <w:pPr>
        <w:rPr>
          <w:rFonts w:eastAsia="ＭＳ Ｐゴシック"/>
          <w:lang w:val="en-US"/>
        </w:rPr>
      </w:pPr>
      <w:r w:rsidRPr="007A6B7B">
        <w:rPr>
          <w:rFonts w:eastAsia="ＭＳ Ｐゴシック"/>
          <w:lang w:val="en-US"/>
        </w:rPr>
        <w:t>It</w:t>
      </w:r>
      <w:r w:rsidR="007A6B7B" w:rsidRPr="007A6B7B">
        <w:rPr>
          <w:rFonts w:eastAsia="ＭＳ Ｐゴシック"/>
          <w:lang w:val="en-US"/>
        </w:rPr>
        <w:t xml:space="preserve">’s been </w:t>
      </w:r>
      <w:r w:rsidRPr="007A6B7B">
        <w:rPr>
          <w:rFonts w:eastAsia="ＭＳ Ｐゴシック"/>
          <w:lang w:val="en-US"/>
        </w:rPr>
        <w:t>agreed to define unified requirement, i.e., the requirement s</w:t>
      </w:r>
      <w:r w:rsidR="007A6B7B" w:rsidRPr="007A6B7B">
        <w:rPr>
          <w:rFonts w:eastAsia="ＭＳ Ｐゴシック"/>
          <w:lang w:val="en-US"/>
        </w:rPr>
        <w:t xml:space="preserve">hall </w:t>
      </w:r>
      <w:r w:rsidRPr="007A6B7B">
        <w:rPr>
          <w:rFonts w:eastAsia="ＭＳ Ｐゴシック"/>
          <w:lang w:val="en-US"/>
        </w:rPr>
        <w:t xml:space="preserve">work for </w:t>
      </w:r>
      <w:r w:rsidR="006C348F" w:rsidRPr="007A6B7B">
        <w:rPr>
          <w:rFonts w:eastAsia="ＭＳ Ｐゴシック"/>
          <w:lang w:val="en-US"/>
        </w:rPr>
        <w:t xml:space="preserve">both </w:t>
      </w:r>
      <w:r w:rsidR="005A7D8C">
        <w:rPr>
          <w:rFonts w:eastAsia="ＭＳ Ｐゴシック"/>
          <w:lang w:val="en-US"/>
        </w:rPr>
        <w:t xml:space="preserve">Deployment </w:t>
      </w:r>
      <w:r w:rsidR="0006077C" w:rsidRPr="007A6B7B">
        <w:rPr>
          <w:rFonts w:eastAsia="ＭＳ Ｐゴシック"/>
          <w:lang w:val="en-US"/>
        </w:rPr>
        <w:t>S</w:t>
      </w:r>
      <w:r w:rsidR="006C348F" w:rsidRPr="007A6B7B">
        <w:rPr>
          <w:rFonts w:eastAsia="ＭＳ Ｐゴシック"/>
          <w:lang w:val="en-US"/>
        </w:rPr>
        <w:t>cenario A and B</w:t>
      </w:r>
      <w:r w:rsidRPr="007A6B7B">
        <w:rPr>
          <w:rFonts w:eastAsia="ＭＳ Ｐゴシック"/>
          <w:lang w:val="en-US"/>
        </w:rPr>
        <w:t xml:space="preserve">. </w:t>
      </w:r>
      <w:r w:rsidR="0006077C" w:rsidRPr="007A6B7B">
        <w:rPr>
          <w:rFonts w:eastAsia="ＭＳ Ｐゴシック"/>
          <w:lang w:val="en-US"/>
        </w:rPr>
        <w:t>Thus, option 1 makes sense to cover both scenarios in one requirement</w:t>
      </w:r>
      <w:r w:rsidR="00062A08">
        <w:rPr>
          <w:rFonts w:eastAsia="ＭＳ Ｐゴシック"/>
          <w:lang w:val="en-US"/>
        </w:rPr>
        <w:t>.</w:t>
      </w:r>
      <w:r w:rsidR="005A7D8C">
        <w:rPr>
          <w:rFonts w:eastAsia="ＭＳ Ｐゴシック"/>
          <w:lang w:val="en-US"/>
        </w:rPr>
        <w:t xml:space="preserve"> However, we understand that the coverage required for Scenario </w:t>
      </w:r>
      <w:r w:rsidR="00CB5921">
        <w:rPr>
          <w:rFonts w:eastAsia="ＭＳ Ｐゴシック"/>
          <w:lang w:val="en-US"/>
        </w:rPr>
        <w:t>B</w:t>
      </w:r>
      <w:r w:rsidR="005A7D8C">
        <w:rPr>
          <w:rFonts w:eastAsia="ＭＳ Ｐゴシック"/>
          <w:lang w:val="en-US"/>
        </w:rPr>
        <w:t xml:space="preserve"> </w:t>
      </w:r>
      <w:r w:rsidR="00CB5921">
        <w:rPr>
          <w:rFonts w:eastAsia="ＭＳ Ｐゴシック"/>
          <w:lang w:val="en-US"/>
        </w:rPr>
        <w:t>is</w:t>
      </w:r>
      <w:r w:rsidR="005A7D8C">
        <w:rPr>
          <w:rFonts w:eastAsia="ＭＳ Ｐゴシック"/>
          <w:lang w:val="en-US"/>
        </w:rPr>
        <w:t xml:space="preserve"> </w:t>
      </w:r>
      <w:r w:rsidR="00CB5921">
        <w:rPr>
          <w:rFonts w:eastAsia="ＭＳ Ｐゴシック"/>
          <w:lang w:val="en-US"/>
        </w:rPr>
        <w:t xml:space="preserve">wider than Scenario A; further, the coverage for Scenario A is </w:t>
      </w:r>
      <w:r w:rsidR="005A7D8C">
        <w:rPr>
          <w:rFonts w:eastAsia="ＭＳ Ｐゴシック"/>
          <w:lang w:val="en-US"/>
        </w:rPr>
        <w:t>a subset of Scenario B. In that case, there is no difference among the two options</w:t>
      </w:r>
      <w:r w:rsidR="00A20207">
        <w:rPr>
          <w:rFonts w:eastAsia="ＭＳ Ｐゴシック"/>
          <w:lang w:val="en-US"/>
        </w:rPr>
        <w:t xml:space="preserve"> above</w:t>
      </w:r>
      <w:r w:rsidR="005A7D8C">
        <w:rPr>
          <w:rFonts w:eastAsia="ＭＳ Ｐゴシック"/>
          <w:lang w:val="en-US"/>
        </w:rPr>
        <w:t>.</w:t>
      </w:r>
      <w:r w:rsidR="00A20207">
        <w:rPr>
          <w:rFonts w:eastAsia="ＭＳ Ｐゴシック"/>
          <w:lang w:val="en-US"/>
        </w:rPr>
        <w:t xml:space="preserve"> As the required coverage area for each scenario is not agreed yet, </w:t>
      </w:r>
      <w:r w:rsidR="00CB5921">
        <w:rPr>
          <w:rFonts w:eastAsia="ＭＳ Ｐゴシック"/>
          <w:lang w:val="en-US"/>
        </w:rPr>
        <w:t>we propose Option 1 until our understanding is confirmed.</w:t>
      </w:r>
      <w:r w:rsidR="00A20207">
        <w:rPr>
          <w:rFonts w:eastAsia="ＭＳ Ｐゴシック"/>
          <w:lang w:val="en-US"/>
        </w:rPr>
        <w:t xml:space="preserve"> </w:t>
      </w:r>
    </w:p>
    <w:p w14:paraId="4939409E" w14:textId="77777777" w:rsidR="00D55278" w:rsidRDefault="00D55278" w:rsidP="00D55278">
      <w:pPr>
        <w:rPr>
          <w:b/>
          <w:bCs/>
          <w:i/>
          <w:iCs/>
        </w:rPr>
      </w:pPr>
      <w:r w:rsidRPr="0036699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proposed that </w:t>
      </w:r>
      <w:r w:rsidRPr="008D4C38">
        <w:rPr>
          <w:b/>
          <w:bCs/>
          <w:i/>
          <w:iCs/>
        </w:rPr>
        <w:t>the union of the largest spherical coverage of theta and phi to define the unified requirements</w:t>
      </w:r>
      <w:r>
        <w:rPr>
          <w:b/>
          <w:bCs/>
          <w:i/>
          <w:iCs/>
        </w:rPr>
        <w:t>.</w:t>
      </w:r>
    </w:p>
    <w:p w14:paraId="26C72077" w14:textId="22F678AE" w:rsidR="00A20207" w:rsidRDefault="008D4C38" w:rsidP="007A6B7B">
      <w:pPr>
        <w:rPr>
          <w:rFonts w:eastAsia="ＭＳ Ｐゴシック"/>
          <w:lang w:val="en-US"/>
        </w:rPr>
      </w:pPr>
      <w:r w:rsidRPr="007A6B7B">
        <w:rPr>
          <w:rFonts w:eastAsia="ＭＳ Ｐゴシック"/>
          <w:lang w:val="en-US"/>
        </w:rPr>
        <w:t>It</w:t>
      </w:r>
      <w:r w:rsidR="00A20207">
        <w:rPr>
          <w:rFonts w:eastAsia="ＭＳ Ｐゴシック"/>
          <w:lang w:val="en-US"/>
        </w:rPr>
        <w:t xml:space="preserve">’s been </w:t>
      </w:r>
      <w:r w:rsidR="00062A08">
        <w:rPr>
          <w:rFonts w:eastAsia="ＭＳ Ｐゴシック"/>
          <w:lang w:val="en-US"/>
        </w:rPr>
        <w:t xml:space="preserve">already </w:t>
      </w:r>
      <w:r w:rsidRPr="007A6B7B">
        <w:rPr>
          <w:rFonts w:eastAsia="ＭＳ Ｐゴシック"/>
          <w:lang w:val="en-US"/>
        </w:rPr>
        <w:t xml:space="preserve">agreed to assume back-to-back </w:t>
      </w:r>
      <w:r w:rsidR="00A20207">
        <w:rPr>
          <w:rFonts w:eastAsia="ＭＳ Ｐゴシック"/>
          <w:lang w:val="en-US"/>
        </w:rPr>
        <w:t xml:space="preserve">antenna </w:t>
      </w:r>
      <w:r w:rsidRPr="007A6B7B">
        <w:rPr>
          <w:rFonts w:eastAsia="ＭＳ Ｐゴシック"/>
          <w:lang w:val="en-US"/>
        </w:rPr>
        <w:t>panels</w:t>
      </w:r>
      <w:r w:rsidR="00AA24AD" w:rsidRPr="007A6B7B">
        <w:rPr>
          <w:rFonts w:eastAsia="ＭＳ Ｐゴシック"/>
          <w:lang w:val="en-US"/>
        </w:rPr>
        <w:t xml:space="preserve"> for </w:t>
      </w:r>
      <w:r w:rsidR="00062A08">
        <w:rPr>
          <w:rFonts w:eastAsia="ＭＳ Ｐゴシック"/>
          <w:lang w:val="en-US"/>
        </w:rPr>
        <w:t xml:space="preserve">Deployment </w:t>
      </w:r>
      <w:r w:rsidR="00D55278">
        <w:rPr>
          <w:rFonts w:eastAsia="ＭＳ Ｐゴシック"/>
          <w:lang w:val="en-US"/>
        </w:rPr>
        <w:t>S</w:t>
      </w:r>
      <w:r w:rsidR="00062A08">
        <w:rPr>
          <w:rFonts w:eastAsia="ＭＳ Ｐゴシック"/>
          <w:lang w:val="en-US"/>
        </w:rPr>
        <w:t xml:space="preserve">cenarios, RF and </w:t>
      </w:r>
      <w:r w:rsidR="00AA24AD" w:rsidRPr="007A6B7B">
        <w:rPr>
          <w:rFonts w:eastAsia="ＭＳ Ｐゴシック"/>
          <w:lang w:val="en-US"/>
        </w:rPr>
        <w:t>RRM requirement</w:t>
      </w:r>
      <w:r w:rsidR="00062A08">
        <w:rPr>
          <w:rFonts w:eastAsia="ＭＳ Ｐゴシック"/>
          <w:lang w:val="en-US"/>
        </w:rPr>
        <w:t xml:space="preserve">. To have the consistent </w:t>
      </w:r>
      <w:r w:rsidR="00A20207">
        <w:rPr>
          <w:rFonts w:eastAsia="ＭＳ Ｐゴシック"/>
          <w:lang w:val="en-US"/>
        </w:rPr>
        <w:t xml:space="preserve">spherical coverage </w:t>
      </w:r>
      <w:r w:rsidR="00062A08">
        <w:rPr>
          <w:rFonts w:eastAsia="ＭＳ Ｐゴシック"/>
          <w:lang w:val="en-US"/>
        </w:rPr>
        <w:t xml:space="preserve">requirement, the requirement </w:t>
      </w:r>
      <w:r w:rsidR="00D55278">
        <w:rPr>
          <w:rFonts w:eastAsia="ＭＳ Ｐゴシック"/>
          <w:lang w:val="en-US"/>
        </w:rPr>
        <w:t>must</w:t>
      </w:r>
      <w:r w:rsidR="00062A08">
        <w:rPr>
          <w:rFonts w:eastAsia="ＭＳ Ｐゴシック"/>
          <w:lang w:val="en-US"/>
        </w:rPr>
        <w:t xml:space="preserve"> be met </w:t>
      </w:r>
      <w:r w:rsidR="00A20207">
        <w:rPr>
          <w:rFonts w:eastAsia="ＭＳ Ｐゴシック"/>
          <w:lang w:val="en-US"/>
        </w:rPr>
        <w:t>including</w:t>
      </w:r>
      <w:r w:rsidR="00062A08">
        <w:rPr>
          <w:rFonts w:eastAsia="ＭＳ Ｐゴシック"/>
          <w:lang w:val="en-US"/>
        </w:rPr>
        <w:t xml:space="preserve"> both </w:t>
      </w:r>
      <w:r w:rsidR="00D55278">
        <w:rPr>
          <w:rFonts w:eastAsia="ＭＳ Ｐゴシック"/>
          <w:lang w:val="en-US"/>
        </w:rPr>
        <w:t xml:space="preserve">boresight </w:t>
      </w:r>
      <w:r w:rsidR="00062A08">
        <w:rPr>
          <w:rFonts w:eastAsia="ＭＳ Ｐゴシック"/>
          <w:lang w:val="en-US"/>
        </w:rPr>
        <w:t>directions.</w:t>
      </w:r>
      <w:r w:rsidR="00D55278">
        <w:rPr>
          <w:rFonts w:eastAsia="ＭＳ Ｐゴシック"/>
          <w:lang w:val="en-US"/>
        </w:rPr>
        <w:t xml:space="preserve"> </w:t>
      </w:r>
    </w:p>
    <w:p w14:paraId="19263056" w14:textId="77777777" w:rsidR="00CB5921" w:rsidRDefault="00A20207" w:rsidP="007A6B7B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lastRenderedPageBreak/>
        <w:t>In the process of</w:t>
      </w:r>
      <w:r w:rsidR="00062A08">
        <w:rPr>
          <w:rFonts w:eastAsia="ＭＳ Ｐゴシック"/>
          <w:lang w:val="en-US"/>
        </w:rPr>
        <w:t xml:space="preserve"> spherical coverage testing, it is possible to test half </w:t>
      </w:r>
      <w:r>
        <w:rPr>
          <w:rFonts w:eastAsia="ＭＳ Ｐゴシック"/>
          <w:lang w:val="en-US"/>
        </w:rPr>
        <w:t xml:space="preserve">the </w:t>
      </w:r>
      <w:r w:rsidR="00062A08">
        <w:rPr>
          <w:rFonts w:eastAsia="ＭＳ Ｐゴシック"/>
          <w:lang w:val="en-US"/>
        </w:rPr>
        <w:t xml:space="preserve">sphere per </w:t>
      </w:r>
      <w:r>
        <w:rPr>
          <w:rFonts w:eastAsia="ＭＳ Ｐゴシック"/>
          <w:lang w:val="en-US"/>
        </w:rPr>
        <w:t xml:space="preserve">antenna </w:t>
      </w:r>
      <w:r w:rsidR="00062A08">
        <w:rPr>
          <w:rFonts w:eastAsia="ＭＳ Ｐゴシック"/>
          <w:lang w:val="en-US"/>
        </w:rPr>
        <w:t xml:space="preserve">panel. </w:t>
      </w:r>
      <w:r>
        <w:rPr>
          <w:rFonts w:eastAsia="ＭＳ Ｐゴシック"/>
          <w:lang w:val="en-US"/>
        </w:rPr>
        <w:t xml:space="preserve">Thus, </w:t>
      </w:r>
      <w:r w:rsidR="00D55278">
        <w:rPr>
          <w:rFonts w:eastAsia="ＭＳ Ｐゴシック"/>
          <w:lang w:val="en-US"/>
        </w:rPr>
        <w:t xml:space="preserve">one panel based spherical coverage </w:t>
      </w:r>
      <w:r>
        <w:rPr>
          <w:rFonts w:eastAsia="ＭＳ Ｐゴシック"/>
          <w:lang w:val="en-US"/>
        </w:rPr>
        <w:t>could</w:t>
      </w:r>
      <w:r w:rsidR="00D55278">
        <w:rPr>
          <w:rFonts w:eastAsia="ＭＳ Ｐゴシック"/>
          <w:lang w:val="en-US"/>
        </w:rPr>
        <w:t xml:space="preserve"> be used</w:t>
      </w:r>
      <w:r>
        <w:rPr>
          <w:rFonts w:eastAsia="ＭＳ Ｐゴシック"/>
          <w:lang w:val="en-US"/>
        </w:rPr>
        <w:t xml:space="preserve"> in</w:t>
      </w:r>
      <w:r w:rsidR="00D55278">
        <w:rPr>
          <w:rFonts w:eastAsia="ＭＳ Ｐゴシック"/>
          <w:lang w:val="en-US"/>
        </w:rPr>
        <w:t xml:space="preserve"> </w:t>
      </w:r>
      <w:r w:rsidR="00CB5921">
        <w:rPr>
          <w:rFonts w:eastAsia="ＭＳ Ｐゴシック"/>
          <w:lang w:val="en-US"/>
        </w:rPr>
        <w:t>the conformance testing defined in RAN5</w:t>
      </w:r>
      <w:r w:rsidR="00D55278">
        <w:rPr>
          <w:rFonts w:eastAsia="ＭＳ Ｐゴシック"/>
          <w:lang w:val="en-US"/>
        </w:rPr>
        <w:t xml:space="preserve">. </w:t>
      </w:r>
      <w:r w:rsidR="00CB5921">
        <w:rPr>
          <w:rFonts w:eastAsia="ＭＳ Ｐゴシック"/>
          <w:lang w:val="en-US"/>
        </w:rPr>
        <w:t>It would be useful to simplify the test procedure and optimizing the test time, as spherical coverage testing is supposed to be time consuming.</w:t>
      </w:r>
    </w:p>
    <w:p w14:paraId="36D151E9" w14:textId="69192596" w:rsidR="008D4C38" w:rsidRPr="007A6B7B" w:rsidRDefault="00A20207" w:rsidP="007A6B7B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 xml:space="preserve">Nevertheless, </w:t>
      </w:r>
      <w:r w:rsidR="00062A08">
        <w:rPr>
          <w:rFonts w:eastAsia="ＭＳ Ｐゴシック"/>
          <w:lang w:val="en-US"/>
        </w:rPr>
        <w:t xml:space="preserve">RAN4 core requirement shall be defined for the entire sphere </w:t>
      </w:r>
      <w:r w:rsidR="00664F93">
        <w:rPr>
          <w:rFonts w:eastAsia="ＭＳ Ｐゴシック"/>
          <w:lang w:val="en-US"/>
        </w:rPr>
        <w:t xml:space="preserve">(or two boresight directions) </w:t>
      </w:r>
      <w:r w:rsidR="00D55278">
        <w:rPr>
          <w:rFonts w:eastAsia="ＭＳ Ｐゴシック"/>
          <w:lang w:val="en-US"/>
        </w:rPr>
        <w:t xml:space="preserve">assuming two </w:t>
      </w:r>
      <w:r>
        <w:rPr>
          <w:rFonts w:eastAsia="ＭＳ Ｐゴシック"/>
          <w:lang w:val="en-US"/>
        </w:rPr>
        <w:t xml:space="preserve">antenna </w:t>
      </w:r>
      <w:r w:rsidR="00D55278">
        <w:rPr>
          <w:rFonts w:eastAsia="ＭＳ Ｐゴシック"/>
          <w:lang w:val="en-US"/>
        </w:rPr>
        <w:t>panels</w:t>
      </w:r>
      <w:r w:rsidR="00664F93">
        <w:rPr>
          <w:rFonts w:eastAsia="ＭＳ Ｐゴシック"/>
          <w:lang w:val="en-US"/>
        </w:rPr>
        <w:t xml:space="preserve"> in one UE</w:t>
      </w:r>
      <w:r w:rsidR="00D55278">
        <w:rPr>
          <w:rFonts w:eastAsia="ＭＳ Ｐゴシック"/>
          <w:lang w:val="en-US"/>
        </w:rPr>
        <w:t>.</w:t>
      </w:r>
      <w:r>
        <w:rPr>
          <w:rFonts w:eastAsia="ＭＳ Ｐゴシック"/>
          <w:lang w:val="en-US"/>
        </w:rPr>
        <w:t xml:space="preserve"> The exact test procedure per antenna panel can be left to RAN5.</w:t>
      </w:r>
    </w:p>
    <w:p w14:paraId="4728B8E8" w14:textId="453A8292" w:rsidR="00A20207" w:rsidRPr="00A20207" w:rsidRDefault="00A20207" w:rsidP="00A20207">
      <w:pPr>
        <w:rPr>
          <w:rFonts w:eastAsia="ＭＳ Ｐゴシック"/>
          <w:b/>
          <w:bCs/>
          <w:i/>
          <w:iCs/>
          <w:lang w:val="en-US"/>
        </w:rPr>
      </w:pPr>
      <w:r w:rsidRPr="00A20207">
        <w:rPr>
          <w:rFonts w:eastAsia="ＭＳ Ｐゴシック"/>
          <w:b/>
          <w:bCs/>
          <w:i/>
          <w:iCs/>
          <w:lang w:val="en-US"/>
        </w:rPr>
        <w:t>Observation</w:t>
      </w:r>
      <w:r>
        <w:rPr>
          <w:rFonts w:eastAsia="ＭＳ Ｐゴシック"/>
          <w:b/>
          <w:bCs/>
          <w:i/>
          <w:iCs/>
          <w:lang w:val="en-US"/>
        </w:rPr>
        <w:t xml:space="preserve"> 1</w:t>
      </w:r>
      <w:r w:rsidRPr="00A20207">
        <w:rPr>
          <w:rFonts w:eastAsia="ＭＳ Ｐゴシック"/>
          <w:b/>
          <w:bCs/>
          <w:i/>
          <w:iCs/>
          <w:lang w:val="en-US"/>
        </w:rPr>
        <w:t>: Per panel testing is possibly discussed in RAN5.</w:t>
      </w:r>
    </w:p>
    <w:p w14:paraId="30127011" w14:textId="5E2A2892" w:rsidR="008D4C38" w:rsidRPr="00366991" w:rsidRDefault="008D4C38" w:rsidP="00AA24AD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</w:t>
      </w:r>
      <w:r w:rsidR="00AA24AD">
        <w:rPr>
          <w:b/>
          <w:bCs/>
          <w:i/>
          <w:iCs/>
        </w:rPr>
        <w:t xml:space="preserve">It is proposed to </w:t>
      </w:r>
      <w:r w:rsidR="00B03C77">
        <w:rPr>
          <w:b/>
          <w:bCs/>
          <w:i/>
          <w:iCs/>
        </w:rPr>
        <w:t xml:space="preserve">define the UE RF </w:t>
      </w:r>
      <w:r w:rsidR="003A7504">
        <w:rPr>
          <w:b/>
          <w:bCs/>
          <w:i/>
          <w:iCs/>
        </w:rPr>
        <w:t xml:space="preserve">core </w:t>
      </w:r>
      <w:r w:rsidR="00B03C77">
        <w:rPr>
          <w:b/>
          <w:bCs/>
          <w:i/>
          <w:iCs/>
        </w:rPr>
        <w:t xml:space="preserve">requirement </w:t>
      </w:r>
      <w:r w:rsidR="00664F93">
        <w:rPr>
          <w:b/>
          <w:bCs/>
          <w:i/>
          <w:iCs/>
        </w:rPr>
        <w:t>for the</w:t>
      </w:r>
      <w:r w:rsidR="00B03C77">
        <w:rPr>
          <w:b/>
          <w:bCs/>
          <w:i/>
          <w:iCs/>
        </w:rPr>
        <w:t xml:space="preserve"> </w:t>
      </w:r>
      <w:r w:rsidR="00AA24AD">
        <w:rPr>
          <w:b/>
          <w:bCs/>
          <w:i/>
          <w:iCs/>
        </w:rPr>
        <w:t xml:space="preserve">back-to-back </w:t>
      </w:r>
      <w:r w:rsidR="00A20207">
        <w:rPr>
          <w:b/>
          <w:bCs/>
          <w:i/>
          <w:iCs/>
        </w:rPr>
        <w:t xml:space="preserve">antenna </w:t>
      </w:r>
      <w:r w:rsidR="00AA24AD">
        <w:rPr>
          <w:b/>
          <w:bCs/>
          <w:i/>
          <w:iCs/>
        </w:rPr>
        <w:t>panel</w:t>
      </w:r>
      <w:r w:rsidR="00664F93">
        <w:rPr>
          <w:b/>
          <w:bCs/>
          <w:i/>
          <w:iCs/>
        </w:rPr>
        <w:t>s</w:t>
      </w:r>
      <w:r w:rsidR="00B03C77">
        <w:rPr>
          <w:b/>
          <w:bCs/>
          <w:i/>
          <w:iCs/>
        </w:rPr>
        <w:t>.</w:t>
      </w:r>
    </w:p>
    <w:p w14:paraId="16207F8D" w14:textId="6025C195" w:rsidR="004D7480" w:rsidRPr="00DC6358" w:rsidRDefault="004D7480" w:rsidP="004D7480">
      <w:pPr>
        <w:pStyle w:val="Heading1"/>
      </w:pPr>
      <w:r>
        <w:t>Conclusion</w:t>
      </w:r>
    </w:p>
    <w:p w14:paraId="44F2E548" w14:textId="119D8D00" w:rsidR="00D6262C" w:rsidRDefault="00D6262C" w:rsidP="00D873C6">
      <w:pPr>
        <w:rPr>
          <w:rFonts w:eastAsia="ＭＳ Ｐゴシック"/>
          <w:b/>
          <w:bCs/>
          <w:i/>
          <w:iCs/>
        </w:rPr>
      </w:pPr>
      <w:r>
        <w:t xml:space="preserve">In this contribution, the UE </w:t>
      </w:r>
      <w:r w:rsidR="003E238C">
        <w:t xml:space="preserve">RF </w:t>
      </w:r>
      <w:r>
        <w:t>requirement for FR2 HST has been discussed.</w:t>
      </w:r>
    </w:p>
    <w:p w14:paraId="00B1128B" w14:textId="02F4EC9E" w:rsidR="003E238C" w:rsidRDefault="003E238C" w:rsidP="003E238C">
      <w:pPr>
        <w:rPr>
          <w:b/>
          <w:bCs/>
          <w:i/>
          <w:iCs/>
        </w:rPr>
      </w:pPr>
      <w:r w:rsidRPr="0036699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proposed that </w:t>
      </w:r>
      <w:r w:rsidRPr="008D4C38">
        <w:rPr>
          <w:b/>
          <w:bCs/>
          <w:i/>
          <w:iCs/>
        </w:rPr>
        <w:t>the union of the largest spherical coverage of theta and phi to define the unified requirements</w:t>
      </w:r>
      <w:r>
        <w:rPr>
          <w:b/>
          <w:bCs/>
          <w:i/>
          <w:iCs/>
        </w:rPr>
        <w:t>.</w:t>
      </w:r>
    </w:p>
    <w:p w14:paraId="27CB4D63" w14:textId="77777777" w:rsidR="00A20207" w:rsidRPr="00A20207" w:rsidRDefault="00A20207" w:rsidP="00A20207">
      <w:pPr>
        <w:rPr>
          <w:rFonts w:eastAsia="ＭＳ Ｐゴシック"/>
          <w:b/>
          <w:bCs/>
          <w:i/>
          <w:iCs/>
          <w:lang w:val="en-US"/>
        </w:rPr>
      </w:pPr>
      <w:r w:rsidRPr="00A20207">
        <w:rPr>
          <w:rFonts w:eastAsia="ＭＳ Ｐゴシック"/>
          <w:b/>
          <w:bCs/>
          <w:i/>
          <w:iCs/>
          <w:lang w:val="en-US"/>
        </w:rPr>
        <w:t>Observation</w:t>
      </w:r>
      <w:r>
        <w:rPr>
          <w:rFonts w:eastAsia="ＭＳ Ｐゴシック"/>
          <w:b/>
          <w:bCs/>
          <w:i/>
          <w:iCs/>
          <w:lang w:val="en-US"/>
        </w:rPr>
        <w:t xml:space="preserve"> 1</w:t>
      </w:r>
      <w:r w:rsidRPr="00A20207">
        <w:rPr>
          <w:rFonts w:eastAsia="ＭＳ Ｐゴシック"/>
          <w:b/>
          <w:bCs/>
          <w:i/>
          <w:iCs/>
          <w:lang w:val="en-US"/>
        </w:rPr>
        <w:t>: Per panel testing is possibly discussed in RAN5.</w:t>
      </w:r>
    </w:p>
    <w:p w14:paraId="79B3D4BA" w14:textId="7CE80E51" w:rsidR="003E238C" w:rsidRPr="00366991" w:rsidRDefault="003E238C" w:rsidP="003E238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It is proposed to define the UE RF </w:t>
      </w:r>
      <w:r w:rsidR="003A7504">
        <w:rPr>
          <w:b/>
          <w:bCs/>
          <w:i/>
          <w:iCs/>
        </w:rPr>
        <w:t xml:space="preserve">core </w:t>
      </w:r>
      <w:r>
        <w:rPr>
          <w:b/>
          <w:bCs/>
          <w:i/>
          <w:iCs/>
        </w:rPr>
        <w:t xml:space="preserve">requirement for the back-to-back </w:t>
      </w:r>
      <w:r w:rsidR="00A20207">
        <w:rPr>
          <w:b/>
          <w:bCs/>
          <w:i/>
          <w:iCs/>
        </w:rPr>
        <w:t xml:space="preserve">antenna </w:t>
      </w:r>
      <w:r>
        <w:rPr>
          <w:b/>
          <w:bCs/>
          <w:i/>
          <w:iCs/>
        </w:rPr>
        <w:t>panels.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14D8AD0" w14:textId="501DFBC7" w:rsidR="00DC6358" w:rsidRDefault="00FE70CD" w:rsidP="00D6262C">
      <w:r>
        <w:t xml:space="preserve">[1] </w:t>
      </w:r>
      <w:r w:rsidR="005101F7" w:rsidRPr="005101F7">
        <w:t>RP-210800</w:t>
      </w:r>
      <w:r w:rsidR="00937F67">
        <w:t xml:space="preserve"> </w:t>
      </w:r>
      <w:r w:rsidR="00937F67" w:rsidRPr="00937F67">
        <w:t>Revised WID on NR support for high speed train scenario in frequency range 2 (FR2)</w:t>
      </w:r>
      <w:r w:rsidR="00D6262C" w:rsidRPr="00D6262C">
        <w:t xml:space="preserve">, </w:t>
      </w:r>
      <w:r w:rsidR="00D6262C">
        <w:t>RAN#</w:t>
      </w:r>
      <w:r w:rsidR="005101F7">
        <w:t>91</w:t>
      </w:r>
      <w:r w:rsidR="00D6262C">
        <w:t>-e</w:t>
      </w:r>
    </w:p>
    <w:p w14:paraId="002A8B6E" w14:textId="0C2CBCB2" w:rsidR="005101F7" w:rsidRDefault="00937F67" w:rsidP="005101F7">
      <w:r>
        <w:t xml:space="preserve">[2] </w:t>
      </w:r>
      <w:r w:rsidR="00EE0B54" w:rsidRPr="00EE0B54">
        <w:t>R4-2120066</w:t>
      </w:r>
      <w:r w:rsidR="005101F7">
        <w:t xml:space="preserve"> </w:t>
      </w:r>
      <w:r w:rsidR="00EE0B54" w:rsidRPr="00EE0B54">
        <w:t>WF on FR2 HST UE requirements</w:t>
      </w:r>
      <w:r w:rsidR="005101F7">
        <w:t>, Samsung, RAN4#</w:t>
      </w:r>
      <w:r w:rsidR="00EE0B54">
        <w:t>101</w:t>
      </w:r>
      <w:r w:rsidR="005101F7">
        <w:t>e</w:t>
      </w:r>
    </w:p>
    <w:p w14:paraId="331D75BF" w14:textId="7061016F" w:rsidR="00567846" w:rsidRDefault="00567846" w:rsidP="00567846">
      <w:r>
        <w:t xml:space="preserve">[3] </w:t>
      </w:r>
      <w:r w:rsidR="00EE0B54" w:rsidRPr="00EE0B54">
        <w:t>R4-2119924</w:t>
      </w:r>
      <w:r>
        <w:t xml:space="preserve"> </w:t>
      </w:r>
      <w:r w:rsidR="00EE0B54" w:rsidRPr="00EE0B54">
        <w:t>Email discussion summary for [101-e][124] NR_HST_FR2_enh</w:t>
      </w:r>
      <w:r w:rsidR="00EE0B54">
        <w:t xml:space="preserve">, </w:t>
      </w:r>
      <w:r>
        <w:t>Samsung, RAN4#</w:t>
      </w:r>
      <w:r w:rsidR="00EE0B54">
        <w:t>101</w:t>
      </w:r>
      <w:r>
        <w:t>e</w:t>
      </w:r>
    </w:p>
    <w:p w14:paraId="5481054C" w14:textId="33F93DEB" w:rsidR="00AF44AA" w:rsidRDefault="00AF44AA" w:rsidP="00567846">
      <w:r>
        <w:t xml:space="preserve">[4] </w:t>
      </w:r>
      <w:r w:rsidRPr="00AF44AA">
        <w:t>R4-2118225</w:t>
      </w:r>
      <w:r>
        <w:t xml:space="preserve"> </w:t>
      </w:r>
      <w:r w:rsidRPr="00AF44AA">
        <w:t>Spherical Coverage Requirement for FR2 HST UE</w:t>
      </w:r>
      <w:r>
        <w:t>, Samsung, RAN4#101e</w:t>
      </w:r>
    </w:p>
    <w:p w14:paraId="7BC93530" w14:textId="5006AC49" w:rsidR="00AF44AA" w:rsidRDefault="00AF44AA" w:rsidP="00567846">
      <w:r>
        <w:t xml:space="preserve">[5] </w:t>
      </w:r>
      <w:r w:rsidRPr="00AF44AA">
        <w:t>R4-2117626</w:t>
      </w:r>
      <w:r>
        <w:t xml:space="preserve"> </w:t>
      </w:r>
      <w:r w:rsidRPr="00AF44AA">
        <w:t>On FR2 HST RF Requirements</w:t>
      </w:r>
      <w:r>
        <w:t>, Qualcomm Incorporated, RAN4#101e</w:t>
      </w:r>
    </w:p>
    <w:p w14:paraId="273CB524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4EB7D" w14:textId="77777777" w:rsidR="00AE668E" w:rsidRDefault="00AE668E">
      <w:r>
        <w:separator/>
      </w:r>
    </w:p>
  </w:endnote>
  <w:endnote w:type="continuationSeparator" w:id="0">
    <w:p w14:paraId="1B638318" w14:textId="77777777" w:rsidR="00AE668E" w:rsidRDefault="00A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B9BE5" w14:textId="77777777" w:rsidR="00AE668E" w:rsidRDefault="00AE668E">
      <w:r>
        <w:separator/>
      </w:r>
    </w:p>
  </w:footnote>
  <w:footnote w:type="continuationSeparator" w:id="0">
    <w:p w14:paraId="0AF88C70" w14:textId="77777777" w:rsidR="00AE668E" w:rsidRDefault="00A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07256"/>
    <w:multiLevelType w:val="hybridMultilevel"/>
    <w:tmpl w:val="6032DF16"/>
    <w:lvl w:ilvl="0" w:tplc="D6505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B3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E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4F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86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6B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4E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06A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AD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5009D8"/>
    <w:multiLevelType w:val="hybridMultilevel"/>
    <w:tmpl w:val="874250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14121C"/>
    <w:multiLevelType w:val="hybridMultilevel"/>
    <w:tmpl w:val="F04C5030"/>
    <w:lvl w:ilvl="0" w:tplc="217E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85D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496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2C6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A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0E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2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0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87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8714C"/>
    <w:multiLevelType w:val="multilevel"/>
    <w:tmpl w:val="3538714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C63F3"/>
    <w:multiLevelType w:val="hybridMultilevel"/>
    <w:tmpl w:val="FDA43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816" w:hanging="360"/>
      </w:pPr>
      <w:rPr>
        <w:rFonts w:ascii="Times New Roman" w:eastAsiaTheme="minorEastAsia" w:hAnsi="Times New Roman" w:cs="Times New Roman" w:hint="default"/>
      </w:rPr>
    </w:lvl>
    <w:lvl w:ilvl="5">
      <w:numFmt w:val="bullet"/>
      <w:lvlText w:val=""/>
      <w:lvlJc w:val="left"/>
      <w:pPr>
        <w:ind w:left="4536" w:hanging="360"/>
      </w:pPr>
      <w:rPr>
        <w:rFonts w:ascii="Wingdings" w:eastAsiaTheme="minorEastAsia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8"/>
  </w:num>
  <w:num w:numId="6">
    <w:abstractNumId w:val="9"/>
  </w:num>
  <w:num w:numId="7">
    <w:abstractNumId w:val="21"/>
  </w:num>
  <w:num w:numId="8">
    <w:abstractNumId w:val="17"/>
  </w:num>
  <w:num w:numId="9">
    <w:abstractNumId w:val="12"/>
  </w:num>
  <w:num w:numId="10">
    <w:abstractNumId w:val="16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5"/>
  </w:num>
  <w:num w:numId="16">
    <w:abstractNumId w:val="25"/>
  </w:num>
  <w:num w:numId="17">
    <w:abstractNumId w:val="13"/>
  </w:num>
  <w:num w:numId="18">
    <w:abstractNumId w:val="2"/>
  </w:num>
  <w:num w:numId="19">
    <w:abstractNumId w:val="19"/>
  </w:num>
  <w:num w:numId="20">
    <w:abstractNumId w:val="10"/>
  </w:num>
  <w:num w:numId="21">
    <w:abstractNumId w:val="3"/>
  </w:num>
  <w:num w:numId="22">
    <w:abstractNumId w:val="6"/>
  </w:num>
  <w:num w:numId="23">
    <w:abstractNumId w:val="11"/>
  </w:num>
  <w:num w:numId="24">
    <w:abstractNumId w:val="14"/>
  </w:num>
  <w:num w:numId="25">
    <w:abstractNumId w:val="18"/>
  </w:num>
  <w:num w:numId="26">
    <w:abstractNumId w:val="2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57BFD"/>
    <w:rsid w:val="0006077C"/>
    <w:rsid w:val="00062023"/>
    <w:rsid w:val="00062A08"/>
    <w:rsid w:val="000655A6"/>
    <w:rsid w:val="0006682B"/>
    <w:rsid w:val="00080512"/>
    <w:rsid w:val="0009303B"/>
    <w:rsid w:val="00095C24"/>
    <w:rsid w:val="000A1C04"/>
    <w:rsid w:val="000B7DB1"/>
    <w:rsid w:val="000C47C3"/>
    <w:rsid w:val="000D58AB"/>
    <w:rsid w:val="000D6502"/>
    <w:rsid w:val="000E2362"/>
    <w:rsid w:val="000E3A08"/>
    <w:rsid w:val="00113DFC"/>
    <w:rsid w:val="00133525"/>
    <w:rsid w:val="001861BD"/>
    <w:rsid w:val="0018720F"/>
    <w:rsid w:val="001A308F"/>
    <w:rsid w:val="001A4C42"/>
    <w:rsid w:val="001A7420"/>
    <w:rsid w:val="001B6637"/>
    <w:rsid w:val="001C0841"/>
    <w:rsid w:val="001C21C3"/>
    <w:rsid w:val="001C7F94"/>
    <w:rsid w:val="001D02C2"/>
    <w:rsid w:val="001E39B0"/>
    <w:rsid w:val="001E6EF9"/>
    <w:rsid w:val="001F0C1D"/>
    <w:rsid w:val="001F1132"/>
    <w:rsid w:val="001F168B"/>
    <w:rsid w:val="001F3FA8"/>
    <w:rsid w:val="0021588F"/>
    <w:rsid w:val="00216389"/>
    <w:rsid w:val="002347A2"/>
    <w:rsid w:val="00244460"/>
    <w:rsid w:val="002518FC"/>
    <w:rsid w:val="00255C6A"/>
    <w:rsid w:val="002675F0"/>
    <w:rsid w:val="00274159"/>
    <w:rsid w:val="00276F56"/>
    <w:rsid w:val="00292BEE"/>
    <w:rsid w:val="002A2F73"/>
    <w:rsid w:val="002B22D0"/>
    <w:rsid w:val="002B6339"/>
    <w:rsid w:val="002C432C"/>
    <w:rsid w:val="002C4950"/>
    <w:rsid w:val="002E00EE"/>
    <w:rsid w:val="002E16D8"/>
    <w:rsid w:val="003003E8"/>
    <w:rsid w:val="003172DC"/>
    <w:rsid w:val="00323359"/>
    <w:rsid w:val="00326A20"/>
    <w:rsid w:val="00341391"/>
    <w:rsid w:val="00350AE3"/>
    <w:rsid w:val="0035462D"/>
    <w:rsid w:val="00366991"/>
    <w:rsid w:val="003765B8"/>
    <w:rsid w:val="0039735C"/>
    <w:rsid w:val="003973C1"/>
    <w:rsid w:val="003A27F6"/>
    <w:rsid w:val="003A5835"/>
    <w:rsid w:val="003A7504"/>
    <w:rsid w:val="003C2B65"/>
    <w:rsid w:val="003C3971"/>
    <w:rsid w:val="003C7F92"/>
    <w:rsid w:val="003D254C"/>
    <w:rsid w:val="003E238C"/>
    <w:rsid w:val="003E6C12"/>
    <w:rsid w:val="004032E3"/>
    <w:rsid w:val="004225D7"/>
    <w:rsid w:val="00423334"/>
    <w:rsid w:val="00432D19"/>
    <w:rsid w:val="004345EC"/>
    <w:rsid w:val="00441AFE"/>
    <w:rsid w:val="004451DF"/>
    <w:rsid w:val="00446662"/>
    <w:rsid w:val="00465515"/>
    <w:rsid w:val="00492286"/>
    <w:rsid w:val="004B55DE"/>
    <w:rsid w:val="004C267A"/>
    <w:rsid w:val="004D1C68"/>
    <w:rsid w:val="004D3547"/>
    <w:rsid w:val="004D3578"/>
    <w:rsid w:val="004D4FB6"/>
    <w:rsid w:val="004D7480"/>
    <w:rsid w:val="004D7901"/>
    <w:rsid w:val="004E213A"/>
    <w:rsid w:val="004F0988"/>
    <w:rsid w:val="004F3340"/>
    <w:rsid w:val="004F3A6D"/>
    <w:rsid w:val="004F79C0"/>
    <w:rsid w:val="005064BD"/>
    <w:rsid w:val="005101F7"/>
    <w:rsid w:val="00512948"/>
    <w:rsid w:val="0052256B"/>
    <w:rsid w:val="0052673B"/>
    <w:rsid w:val="0053388B"/>
    <w:rsid w:val="00535773"/>
    <w:rsid w:val="00542778"/>
    <w:rsid w:val="00543092"/>
    <w:rsid w:val="00543E6C"/>
    <w:rsid w:val="00565087"/>
    <w:rsid w:val="00567846"/>
    <w:rsid w:val="005703BE"/>
    <w:rsid w:val="00574E6D"/>
    <w:rsid w:val="0059642C"/>
    <w:rsid w:val="00597B11"/>
    <w:rsid w:val="005A7D8C"/>
    <w:rsid w:val="005C154F"/>
    <w:rsid w:val="005C6395"/>
    <w:rsid w:val="005D2E01"/>
    <w:rsid w:val="005D70C9"/>
    <w:rsid w:val="005D7526"/>
    <w:rsid w:val="005E4BB2"/>
    <w:rsid w:val="005E55B1"/>
    <w:rsid w:val="00602AEA"/>
    <w:rsid w:val="00610813"/>
    <w:rsid w:val="00614FDF"/>
    <w:rsid w:val="00630334"/>
    <w:rsid w:val="0063543D"/>
    <w:rsid w:val="00637DB7"/>
    <w:rsid w:val="00647114"/>
    <w:rsid w:val="00664F93"/>
    <w:rsid w:val="0066613A"/>
    <w:rsid w:val="0067040A"/>
    <w:rsid w:val="006A323F"/>
    <w:rsid w:val="006B30D0"/>
    <w:rsid w:val="006C348F"/>
    <w:rsid w:val="006C3D95"/>
    <w:rsid w:val="006E3752"/>
    <w:rsid w:val="006E5C86"/>
    <w:rsid w:val="00701116"/>
    <w:rsid w:val="007047EB"/>
    <w:rsid w:val="00713C44"/>
    <w:rsid w:val="00720B01"/>
    <w:rsid w:val="00726565"/>
    <w:rsid w:val="007342EE"/>
    <w:rsid w:val="00734A5B"/>
    <w:rsid w:val="00735528"/>
    <w:rsid w:val="0074026F"/>
    <w:rsid w:val="007429F6"/>
    <w:rsid w:val="00744E76"/>
    <w:rsid w:val="00746C8A"/>
    <w:rsid w:val="007540EC"/>
    <w:rsid w:val="00774DA4"/>
    <w:rsid w:val="00781AB3"/>
    <w:rsid w:val="00781F0F"/>
    <w:rsid w:val="00791697"/>
    <w:rsid w:val="007A0B69"/>
    <w:rsid w:val="007A4C0C"/>
    <w:rsid w:val="007A6B7B"/>
    <w:rsid w:val="007A742B"/>
    <w:rsid w:val="007B3EEA"/>
    <w:rsid w:val="007B600E"/>
    <w:rsid w:val="007C09BD"/>
    <w:rsid w:val="007C5F01"/>
    <w:rsid w:val="007F0F4A"/>
    <w:rsid w:val="007F34CE"/>
    <w:rsid w:val="007F53E6"/>
    <w:rsid w:val="008028A4"/>
    <w:rsid w:val="008055C7"/>
    <w:rsid w:val="00830747"/>
    <w:rsid w:val="008405CC"/>
    <w:rsid w:val="00874BB1"/>
    <w:rsid w:val="00875BB8"/>
    <w:rsid w:val="008768CA"/>
    <w:rsid w:val="008803A9"/>
    <w:rsid w:val="00885D62"/>
    <w:rsid w:val="00895378"/>
    <w:rsid w:val="008A27D8"/>
    <w:rsid w:val="008A3577"/>
    <w:rsid w:val="008A68CE"/>
    <w:rsid w:val="008C384C"/>
    <w:rsid w:val="008D4C38"/>
    <w:rsid w:val="008E1A09"/>
    <w:rsid w:val="0090271F"/>
    <w:rsid w:val="00902E23"/>
    <w:rsid w:val="00903DC4"/>
    <w:rsid w:val="00907485"/>
    <w:rsid w:val="009114D7"/>
    <w:rsid w:val="0091348E"/>
    <w:rsid w:val="00917CCB"/>
    <w:rsid w:val="0092735F"/>
    <w:rsid w:val="00937F67"/>
    <w:rsid w:val="00942EC2"/>
    <w:rsid w:val="00944AE2"/>
    <w:rsid w:val="00957086"/>
    <w:rsid w:val="00997F99"/>
    <w:rsid w:val="009A01C9"/>
    <w:rsid w:val="009E7D52"/>
    <w:rsid w:val="009F0B8F"/>
    <w:rsid w:val="009F183D"/>
    <w:rsid w:val="009F37B7"/>
    <w:rsid w:val="009F4274"/>
    <w:rsid w:val="00A10F02"/>
    <w:rsid w:val="00A164B4"/>
    <w:rsid w:val="00A20207"/>
    <w:rsid w:val="00A26956"/>
    <w:rsid w:val="00A27486"/>
    <w:rsid w:val="00A3356D"/>
    <w:rsid w:val="00A403D7"/>
    <w:rsid w:val="00A53724"/>
    <w:rsid w:val="00A56066"/>
    <w:rsid w:val="00A57024"/>
    <w:rsid w:val="00A60E75"/>
    <w:rsid w:val="00A62418"/>
    <w:rsid w:val="00A64C15"/>
    <w:rsid w:val="00A654C5"/>
    <w:rsid w:val="00A72A24"/>
    <w:rsid w:val="00A73129"/>
    <w:rsid w:val="00A82346"/>
    <w:rsid w:val="00A841B0"/>
    <w:rsid w:val="00A85484"/>
    <w:rsid w:val="00A92BA1"/>
    <w:rsid w:val="00AA1006"/>
    <w:rsid w:val="00AA24AD"/>
    <w:rsid w:val="00AA3815"/>
    <w:rsid w:val="00AA7B69"/>
    <w:rsid w:val="00AB0BE7"/>
    <w:rsid w:val="00AB1675"/>
    <w:rsid w:val="00AC2BD1"/>
    <w:rsid w:val="00AC6BC6"/>
    <w:rsid w:val="00AE4865"/>
    <w:rsid w:val="00AE65E2"/>
    <w:rsid w:val="00AE668E"/>
    <w:rsid w:val="00AF1E14"/>
    <w:rsid w:val="00AF44AA"/>
    <w:rsid w:val="00AF4ECD"/>
    <w:rsid w:val="00B03A84"/>
    <w:rsid w:val="00B03C77"/>
    <w:rsid w:val="00B076BD"/>
    <w:rsid w:val="00B13255"/>
    <w:rsid w:val="00B15449"/>
    <w:rsid w:val="00B34AFE"/>
    <w:rsid w:val="00B35E18"/>
    <w:rsid w:val="00B454B6"/>
    <w:rsid w:val="00B62C25"/>
    <w:rsid w:val="00B77D99"/>
    <w:rsid w:val="00B85774"/>
    <w:rsid w:val="00B93086"/>
    <w:rsid w:val="00BA19ED"/>
    <w:rsid w:val="00BA4B8D"/>
    <w:rsid w:val="00BA51C2"/>
    <w:rsid w:val="00BB313E"/>
    <w:rsid w:val="00BC0F7D"/>
    <w:rsid w:val="00BD7D31"/>
    <w:rsid w:val="00BE3255"/>
    <w:rsid w:val="00BF128E"/>
    <w:rsid w:val="00C074DD"/>
    <w:rsid w:val="00C10129"/>
    <w:rsid w:val="00C1496A"/>
    <w:rsid w:val="00C21352"/>
    <w:rsid w:val="00C33079"/>
    <w:rsid w:val="00C45231"/>
    <w:rsid w:val="00C64A6E"/>
    <w:rsid w:val="00C72833"/>
    <w:rsid w:val="00C80F1D"/>
    <w:rsid w:val="00C93F40"/>
    <w:rsid w:val="00C955EA"/>
    <w:rsid w:val="00CA3D0C"/>
    <w:rsid w:val="00CA4480"/>
    <w:rsid w:val="00CB0BC2"/>
    <w:rsid w:val="00CB5921"/>
    <w:rsid w:val="00CE14CA"/>
    <w:rsid w:val="00CF3F9C"/>
    <w:rsid w:val="00CF6B78"/>
    <w:rsid w:val="00D1357F"/>
    <w:rsid w:val="00D33416"/>
    <w:rsid w:val="00D473F8"/>
    <w:rsid w:val="00D55278"/>
    <w:rsid w:val="00D56831"/>
    <w:rsid w:val="00D57972"/>
    <w:rsid w:val="00D6262C"/>
    <w:rsid w:val="00D65492"/>
    <w:rsid w:val="00D675A9"/>
    <w:rsid w:val="00D738D6"/>
    <w:rsid w:val="00D755EB"/>
    <w:rsid w:val="00D76048"/>
    <w:rsid w:val="00D873C6"/>
    <w:rsid w:val="00D87E00"/>
    <w:rsid w:val="00D9134D"/>
    <w:rsid w:val="00D91E1E"/>
    <w:rsid w:val="00DA7A03"/>
    <w:rsid w:val="00DB1818"/>
    <w:rsid w:val="00DB64A4"/>
    <w:rsid w:val="00DC1D1B"/>
    <w:rsid w:val="00DC309B"/>
    <w:rsid w:val="00DC4DA2"/>
    <w:rsid w:val="00DC6358"/>
    <w:rsid w:val="00DD07C5"/>
    <w:rsid w:val="00DD0ACC"/>
    <w:rsid w:val="00DD4C17"/>
    <w:rsid w:val="00DD5906"/>
    <w:rsid w:val="00DD74A5"/>
    <w:rsid w:val="00DE36E2"/>
    <w:rsid w:val="00DE5A60"/>
    <w:rsid w:val="00DF2B1F"/>
    <w:rsid w:val="00DF62CD"/>
    <w:rsid w:val="00E02131"/>
    <w:rsid w:val="00E160D3"/>
    <w:rsid w:val="00E16509"/>
    <w:rsid w:val="00E2093C"/>
    <w:rsid w:val="00E33EED"/>
    <w:rsid w:val="00E35F95"/>
    <w:rsid w:val="00E44582"/>
    <w:rsid w:val="00E71149"/>
    <w:rsid w:val="00E73F2A"/>
    <w:rsid w:val="00E768BB"/>
    <w:rsid w:val="00E77645"/>
    <w:rsid w:val="00E90F36"/>
    <w:rsid w:val="00E93CDA"/>
    <w:rsid w:val="00EA15B0"/>
    <w:rsid w:val="00EA1A7E"/>
    <w:rsid w:val="00EA5EA7"/>
    <w:rsid w:val="00EC4A25"/>
    <w:rsid w:val="00ED4216"/>
    <w:rsid w:val="00EE044D"/>
    <w:rsid w:val="00EE0B54"/>
    <w:rsid w:val="00EE41D6"/>
    <w:rsid w:val="00EE4C73"/>
    <w:rsid w:val="00EF5C17"/>
    <w:rsid w:val="00F025A2"/>
    <w:rsid w:val="00F04712"/>
    <w:rsid w:val="00F13360"/>
    <w:rsid w:val="00F22EC7"/>
    <w:rsid w:val="00F242AD"/>
    <w:rsid w:val="00F24E9F"/>
    <w:rsid w:val="00F31F83"/>
    <w:rsid w:val="00F325C8"/>
    <w:rsid w:val="00F4242F"/>
    <w:rsid w:val="00F63FB1"/>
    <w:rsid w:val="00F653B8"/>
    <w:rsid w:val="00F8120C"/>
    <w:rsid w:val="00F9008D"/>
    <w:rsid w:val="00F96776"/>
    <w:rsid w:val="00FA1266"/>
    <w:rsid w:val="00FA72F4"/>
    <w:rsid w:val="00FA7812"/>
    <w:rsid w:val="00FB01D3"/>
    <w:rsid w:val="00FB2B11"/>
    <w:rsid w:val="00FC1192"/>
    <w:rsid w:val="00FC3951"/>
    <w:rsid w:val="00FE09E0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목록 단락,?? ??,?????,????,Lista1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FE70CD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E0B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764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450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76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559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7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622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36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82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452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746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6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3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3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51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6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3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E65D-15A0-4A92-BEF4-0FEBE9BC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</cp:lastModifiedBy>
  <cp:revision>30</cp:revision>
  <cp:lastPrinted>2019-02-25T14:05:00Z</cp:lastPrinted>
  <dcterms:created xsi:type="dcterms:W3CDTF">2021-12-29T03:06:00Z</dcterms:created>
  <dcterms:modified xsi:type="dcterms:W3CDTF">2022-01-10T02:06:00Z</dcterms:modified>
</cp:coreProperties>
</file>